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03.10.2019, оставленным без изменения постановлением Девятого арбитражного апелляционного суда от 21.01.2020, в удовлетворении иска отказано. Арбитражный суд Московского округа постановлением от 10.07.2020 решение от 03.10.2019 и постановление Девятого арбитражного апелляционного суда от 21.01.2020 оставил без изменения. В кассационной жалобе предприниматель просит об отмене судебных актов вследствие игнорирования судами преюдициального значения решения по делу № А40-287218/2018.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 пределах дела № А40-287218/2018 отказано в иске ответчика к предпринимателю о взыскании неосновательного обогащения. В рассматриваемом иске, носящем самостоятельный характер, обязанность доказывания требований возложена на предпринимателя (статья 65 Арбитражного процессуального кодекса Российской Федерации). Применив механизм определения сальдо встречных обязательств, заложенный в постановлении Пленума Высшего Арбитражного Суда Российской Федерации от 14.03.2014 № 17 «Об отдельных вопросах, связанных с договором выкупного лизинга», суды признали иск необоснованным. Доводы жалобы опровергаются установленными судами обстоятельствами.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АО "ВЭБ-лизинг" (подробнее) Ответчики: АО ВЭБ ЛИЗИНГ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