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Арбитражного суда Республики Саха (Якутия) от 19.12.2019, оставленным без изменения постановлением Четвертого арбитражного апелляционного суда от 09.06.2020, иск удовлетворен частично, с ответчика в пользу истца взыскано 2 205 828,03 рублей убытков и 52 800 рублей расходов на оплату экспертизы, в остальной части иска отказано. Постановлением Арбитражного суда Восточно-Сибирского округа от 21.08.2020 указанные судебные акты оставлены без изменения. Ответчик просит отменить обжалуемые судебные акты,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 частично, признав, что действия ответчика повлекли для истца убытки в виде реального ущерба и упущенной выгоды, которую истец получил бы в случае надлежащего исполнения законодательства ответчиком при заключении контракта с истцом; размер убытков определен с учетом экспертного заключения, и документально не опровергнут ответчиком.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"Даль-Регион" (подробнее) Ответчики: Федеральное казенное учреждение "Управление автомобильной дороги общего пользования Федерального значения "Вилюй" Федерального дорожного агентства (подробнее) Иные лица: АС РС (Я) (подробнее) Союз судебных экспертов "Экспертный совет"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