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07.11.2019, оставленным без изменения постановлением Девятого арбитражного апелляционного суда от 11.02.2020, в удовлетворении иска отказано. Арбитражный суд Московского округа постановлением от 17.07.2020 решение от 07.11.2019 и постановление Девятого арбитражного апелляционного суда от 11.02.2020 оставил без изменения. В кассационной жалобе учреждение просит об отмене судебных актов, ссылаясь на надлежащее предъявление требования о платеже по гарантии и нарушение срока его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несоответствие требования о платеже условиям банковской гарантии от02.04.2018 № ЭГ-075820/18 и отклонение его банком в соответствии со статьями 374 , 376 Гражданского кодекса Российской Федерации. Иная оценка поведения банка не соответствует условиям обязательства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«Городская аварийно-восстановительная служба жилого фонда Санкт-Петербурга»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"Промсвязьбанк" (подробнее) Санкт-ПетербургСКОЕ ГОСУДАРСТВЕННОЕ КАЗЕННОЕ УЧРЕЖДЕНИЕ ГОРОДСКАЯ АВАРИЙНО-ВОССТАНОВИТЕЛЬНАЯ СЛУЖБА ЖИЛИЩНОГО ФОНДА Санкт-ПетербургА (подробнее) Ответчики: ПАО Межрегиональный коммерческий банк развития связи и информатики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