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29.11.2019, оставленным без изменения постановлением Семнадцатого арбитражного апелляционного суда от 20.02.2020 и постановлением Арбитражного суда Уральского округа от 15.07.2020, в удовлетворении иска отказано. В кассационной жалобе, поданной в Верховный Суд Российской Федерации, цент, ссылаясь на нарушение судами норм материального и процессуального права, просит отменить указанные судебные акты и принять новый судебный акт об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отказывая в удовлетворении заявленных требований, суды, приняв во внимание вступивший в законную силу судебный акт по делу № А60-10951/2016, руководствовуясь статьями 195, 196, 199, 200, 382, 1102 Гражданского кодекса Российской Федерации, разъяснениями, приведенными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исходили, в том числе из пропуска центром срока исковой давности, о чем было заявлено ответчиком. Доводы кассационной жалобы, с учетом установленных фактических обстоятельств, выводы судов не опровергают,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«Правовой центр «Звезда»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