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15.10.2019 иск удовлетворен. Постановлением Пятнадцатого арбитражного апелляционного суда от 28.01.2020 решение суда первой инстанции изменено, с предприятия в пользу общества взыскано 1 042 561 руб. 28 коп. процентов за пользование чужими денежными средствами, в удовлетворении остальной части иска отказано. Постановлением Арбитражного суда Северо-Кавказского округа от 14.06.2020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Руководствуясь статьей 395 Гражданского кодекса Российской Федерации, положениями Федерального закона от 26.10.2002 № 127-ФЗ «О несостоятельности (банкротстве)», разъяснениями, приведенными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оценив по правилам статьи 71 Арбитражного процессуального кодекса Российской Федерации представленные в материалы дела доказательства, суд апелляционной инстанции, с которым согласился суд округа, пришел к выводу о наличии оснований для частичного удовлетворения иска, скорректировав период начисления процентов за пользование чужими денежными средствами и произведя их перерасчет. Выводы судов подробно мотивированы в обжалуемых судебных актах. Изложенные в кассационной жалобе доводы были предметом рассмотрения суда округа и получили правовую оценку,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«Птицефабрика Таганрогская»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