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принятым при новом рассмотрении дела решением Арбитражного суда Хабаровского края от 10.12.2019, оставленным без изменения постановлением Шестого арбитражного апелляционного суда от 27.02.2020, исковые требования удовлетворены. Постановлением Арбитражного суда Дальневосточного округа от 21.08.2020 решение суда первой инстанции и постановление суда апелляционной инстанции отменены, дело направлено на новое рассмотрение в Арбитражный суд Хабаровского края. В кассационной жалобе, поданной в Верховный Суд Российской Федерации, общество, ссылаясь на нарушение судом округа норм права, просит отменить его постановление и оставить в силе судебные акты судов первой и апелляционной инстанций.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Между тем таких оснований по результатам изучения обжалуемого судебного акта и доводов кассационной жалобы не установлено. В силу положений статьи 286 Арбитражного процессуального кодекса Российской Федерации в компетенцию суда кассационной инстанции входит проверка законности судебных актов, принятых судами первой и апелляционной инстанций, правильности применения норм материального права и норм процессуального права, а также соответствие выводов арбитражных судов о применении норм права установленным ими по делу обстоятельствам и имеющимся в деле доказательствам. Отменяя судебные акты судов первой и апелляционной инстанций и направляя дело на новое рассмотрение, суд округа, не принимая судебного акта по существу спора, указал на неполное исследование судами обстоятельств, имеющих существенное значение для правильного разрешения спора. Доводы кассационной жалобы не свидетельствуют о существенном нарушении судом норм права при принятии обжалуемого судебного акта, в связи с чем основания для передачи жалобы для рассмотрения в судебном заседании отсутствуют. При новом рассмотрении дела заявитель не лишен возможности излагать свои доводы по всем возникающим в ходе рассмотрения дела вопросам, представлять соответствующие доказательства и иными способами обосновывать свою позицию по делу. Принимая во внимание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«Меркурий»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ООО "Меркурий" (подробнее) Ответчики: ООО "Приморская строительная компания" (подробнее) Иные лица: АС ДВО (подробнее) к/у Дзюба А.А. (подробнее) МР ИФНС №9 по Приморскому краю (подробнее) ООО ДВСК "Дедал"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