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ноября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обратилось в Верховный Суд Российской Федерации с кассационной жалобой на указанные судебные акты, одновременно заявив ходатайство об отсрочке уплаты государственной пошлины, мотивированное отсутствием у него денежных средств, необходимых для уплаты пошлины в установленном размере. В силу статьи 102 Арбитражного процессуального кодекса Российской Федерации основания и порядок уплаты государственной пошлины,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 2 В соответствии с пунктом 2 статьи 333.22 Налогового кодекса Российской Федерации арбитражные суды, исходя из имущественного положения плательщика, вправе освободить его от уплаты государственной пошлины по делам, рассматриваемым указанными судами, либо уменьшить ее размер, а также отсрочить (рассрочить) ее уплату в порядке, предусмотренном статьей 333.41 данного Кодекса. Поскольку представленные обществом в обоснование ходатайства документы свидетельствуют об отсутствии у него возможности уплатить государственную пошлину при подаче кассационной жалобы, ходатайство подлежит удовлетворению. Руководствуясь статьями 102, 184, 185 Арбитражного процессуального кодекса Российской Федерации, статьями 333.22, 333.41 Налогового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общества с ограниченной ответственностью «Верхневолжская топливно-энергетическая компания» удовлетворить. Предоставить обществу с ограниченной ответственностью «Верхневолжская топливно-энергетическая компания» отсрочку уплаты государственной пошлины сроком до окончания производства по кассационной жалобе.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