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28.01.2020, оставленным без изменения постановлениями Девятого арбитражного апелляционного суда от 25.03.2020 и Арбитражного суда Московского округа от 15.07.2020, должник признан несостоятельным (банкротом), открыто конкурсное производство сроком на шесть месяцев, конкурсным управляющим утверждён Багрянцев Дмитрий Владимирович. В кассационной жалобе, поданной в Верховный Суд Российской Федерации, заявитель просит отменить указанные судебные акты в части утверждения Багрянцева Д.В. конкурсным управляющим должником и принять по делу в данной части новый судебный акт об утверждении конкурсным управляющим должником Чернышева Михаила Юрьевича.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положениями статей 20, 20.2, 45, 127, 183.16, 183.19 Федерального закона от 26.10.2002 № 127-ФЗ «О несостоятельности (банкротстве)» и исходили из того, что специальный порядок представления кандидатуры арбитражного управляющего микрофинансовой организации распространяется только на процедуру наблюдения, а кандидатура конкурсного управляющего выбирается собранием кредиторов должника, уже определившихся со своим выбором и отдавших на первом собрании большинство голосов за кандидатуру Багрянцева Д.В.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Алексею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