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21.10.2019 (с учетом определения об исправлении опечаток от 21.10.2019), оставленным без изменения постановлением Четвертого арбитражного апелляционного суда от 27.03.2020, первоначальный иск удовлетворен, по встречному иску с общества в пользу учреждения здравоохранения взыскано 21 176,29 рублей, в остальной части встречного иска отказано. Постановлением Арбитражного суда Восточно-Сибирского округа от 10.08.2020 указанные судебные акты оставлены без изменения. Учреждение здравоохранения обратилось в Верховный Суд Российской Федерации с кассационной жалобой, в которой просит принятые по делу судебные акты в части удовлетворения первоначального иска отменить, считая их принятыми с нарушением норм материального и процессуального права в указанной части.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первоначальный иск, признав, что спорные дополнительные работы были выполнены подрядчиком в рамках заключенного сторонами муниципального контракта, необходимость выполнения данных работ документально подтверждена, заказчик согласовал действия по проведению дополнительных работ в целях обеспечения годности и прочности их результата; встречный иск удовлетворен частично, поскольку, установив факт выполнения подрядчиком работ с нарушением обязательств по контракту, суды снизили размер неустойки.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необходимости срочного выполнения работ на объекте в связи с угрозой его гибели, не согласиться с которой оснований не имеется. Злоупотребления и наличия в действиях общества намерения обойти требования законодательства о контрактной системе и недобросовестным образом получить преимущество, не установлено.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"СибТрейд-"Волна" (подробнее) Ответчики: Государственное бюджетное учреждение здравоохранения "Областной кожно-венерологический диспансер" (подробнее) Иные лица: ООО ТПО "Иркутскархпроект" (подробнее) Служба по охране объектов культурного наследия Иркутской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