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31.05.2019, оставленным без изменения постановлением Десятого арбитражного апелляционного суда от 12.02.2020, оспариваемое постановление изменено в части назначенного наказания, размер административного штрафа снижен до 200 000 рублей. Постановлением Арбитражного суда Московского округа от 15.07.2020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необоснованными, направить дело на новое рассмотрение в соответствующий суд.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ненадлежащего выполнение обществом предписания органа исполнительной власти, осуществляющего федеральный государственный надзор в области промышленной безопасности (в срок до 14.01.2019), суды пришли к выводу о наличии в действиях общества состава правонарушения, ответственность за совершение которого предусмотрена частью 11 статьи 19.5 Кодекса Российской Федерации об административных правонарушениях. Доказательств невозможности соблюдения обществом требований законодательства в силу чрезвычайных событий и обстоятельств, которые оно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соблюдены, штраф снижен судом ниже низшего размера санкции нормы. Оснований для признания правонарушения малозначительным не установлено.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актах. При этом истечение сроков привлечения к административной ответственности на время пересмотра постановления о привлечении к административной ответственности не влечет за собой его отмену и прекращение производства по делу, если для этого отсутствуют иные основания (абзац 8 пункта 14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правонарушениях»). Ссылка на то, что постановление о привлечении к административной ответственности принято неуполномоченным лицом, отклоняется с учетом положений части 1, пункта 5 части 2 статьи статьи 23.31 Кодекса Российской Федерации об административных правонарушениях, пунктов 1 и 4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30.07.2004 № 401, пунктов 1, 12, 14 Положения о Центральном управлении Федеральной службы по экологическому, технологическому и атомному надзору, утвержденному приказом Ростехнадзора от 28.06.2016 № 265.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ОАО "Павлово-Посадский камвольщик" (подробнее) Ответчики: Центральное управление Федеральной службы по экологическому, технологическому и атомному надзору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