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17.02.2020, оставленным без изменения постановлением Восемнадцатого арбитражного апелляционного суда от 14.04.2020, в удовлетворении требований отказано. Постановлением Арбитражного суда Уральского округа от 12.08.2020 указанные судебные акты оставлены без изменения. Административный орган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пришли к выводу о том, что предприниматель не является субъектом ответственности по указанной норме, протокол о правонарушении составлен неуполномоченным органом, что исключает возможность переквалификации правонарушения, в связи с чем отказали в привлечении к административной ответственности. Несогласие административного органа с указанными выводами судов не может быть признано основанием для пересмотра обжалуемых судебных актов в кассационном порядке с учетом срока давности привлечения к административной ответственности по данной категории дел, который не приостанавливается при рассмотрении кассационной жалобы в Верховном Суде Российской Федерации, применительно к срокам и порядку рассмотрения кассационной жалобы в судебном заседании Судебной коллегии Верховного Суда Российской Федерации.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3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