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11.03.2020, оставленным без изменения постановлением Восемнадцатого арбитражного апелляционного суда от 05.06.2020, в удовлетворении требований отказано. Постановлением Арбитражного суда Уральского округа от 07.08.2020 указанные судебные акты оставлены без изменения. Административный орган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признали недоказанным факт оборота алкогольной продукции в форме реализации, в связи с чем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 с учетом срока давности привлечения к административной ответственности по данной категории дел, который не приостанавливается при рассмотрении кассационной жалобы в Верховном Суде Российской Федерации, применительно к срокам и порядку изучения кассационной жалобы судьей и ее рассмотрения в судебном заседании Судебной коллегии Верховного Суда Российской Федерации.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Министерство сельского хозяйства, пищевой и перерабатывающей промышленности Оренбургской области (подробнее) Министерство экономического развития, промышленной политики и торговли Оренбургской области (подробнее) Ответчики: ИП Рыбин Никита Русланович (подробнее) Иные лица: Арбитражный суд Уральского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