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Арбитражного суда Красноярского края от 04.10.2019, оставленным без изменения постановлением Третьего арбитражного апелляционного суда от 18.02.2020 и постановлением Арбитражного суда Восточно-Сибирского округа от 23.06.2020, исковое требование учреждения удовлетворено, в удовлетворении встречного искового заявления общества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(подрядчик) заключен государственный контракт на выполнение работ по ремонту искусственных сооружений на действующей сети автомобильных дорог общего пользования федерального значения. Заказчиком при участии представителя подрядчика произведено обследование введенного в эксплуатацию объекта дорожных работ, в ходе которого установлено наличие на объекте дефектов в виде шелушения краски фасадной части моста, нарушения целостности ДШ-1 и ДШ-3, выщелачивания по монолитной консоли и по оси моста. По результатам обследования составлен акт от 30.08.2017 № ГК-102 с предложением подрядчику устранить выявленные дефекты. Неустранение замечаний в установленный срок послужило основанием для начисления обществу неустойки за нарушение срока исполнения гарантийных обязательств в сумме 558 848 рублей 40 копеек. Встречные исковые требования мотивированы нарушением учреждением условий контракта, предусматривающих проведение экспертизы выполненных подрядчиком работ, и фальсификацией акта от 30.08.2017 № ГК-102. Рассматривая спор, суды, оценив представленные в материалы дела доказательства, руководствуясь положениями статей 307 , 309 , 329 , 330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факт просрочки устранения подрядчиком замечаний заказчика, пришли к выводу об обоснованности искового требования учреждения. Суды отметили, что согласно условиям государственного контракта и акта обследования от 30.08.2017 № ГК-102 обязательство по устранению дефектов, выявленных на объекте в период гарантийного срока, носило для подрядчика срочный характер, в связи с чем в силу закона и контракта просрочка исполнения обязательства является видом нарушения, для которого установлен специальный вид ответственности – пени. При этом стоимость устранения недостатков определена учреждением в размере меньшем, чем стоимость аналогичных видов и объемов работ, согласованных сторонами в приложении № 1 к дополнительному соглашению № 2 к контракту, что не может нарушать прав подрядчика при рассмотрении предъявленного к нему иска о взыскании неустойки. Контррасчет объема и стоимости устранения дефектов обществом не был представлен. Отказывая в удовлетворении встречного иска общества, суды трех инстанций исходили из того, что какие-либо требования к составлению акта выявленных заказчиком в период гарантийного срока дефектов в контракте не указаны и на законодательном уровне не закреплены. Кроме того, отраженные сторонами в акте от 30.08.2017 № ГК-102 недостатки устранены подрядчиком в полном объеме до рассмотрения настоящего спора по существу (15.06.2018); в период устранения дефектов замечаний, касающихся оформления и содержания акта, а также сомнений в том, что зафиксированные в нем недостатки являются гарантийными, у подрядчика не возникало. Вместе с тем суды не установили нарушения заказчиком условий контракта, предусматривающих порядок приемки выполненных работ. Довод о несоблюдении учреждением претензионного порядка урегулирования спора, принятии в связи с этим и рассмотрении судом уточненного искового требования с нарушением положений статей 4 , 49 и 148 Арбитражного процессуального кодекса Российской Федерации, признается несостоятельным. Рассмотрение настоящего спора, в том числе с учетом квалификации допущенного нарушения и определения соответствующего нарушению вида неустойки, осуществлено судами первой и апелляционной инстанций в соответствии с указаниями суда округа, изложенными в постановлении от 28.01.2019. Иные доводы, изложенные в кассационной жалобе, были предметом рассмотрения судов и получили надлежащую правовую оценку. Существенных нарушений норм материального и процессуального права, повлиявших на исход дела, приведенные обществом доводы не подтверждают и не могут служить достаточным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«Мостремстрой»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Федеральное казенное учреждение "Федеральное управление автомобильных дорог "Байкал" Федерального дорожного агентства" (подробнее) Ответчики: ООО "Мостремстрой" (подробнее) Иные лица: АО "Красноярский ПромстройНИИ проект" (подробнее) ООО "СПБ-МОСТ" (подробнее) Судебный пристав-исполнитель ОСП по Центральному району г. Красноярска В.С. Хомайко (подробнее) ФБУ Иркутская лаборатория судебных экспертиз Министерства Юстиции РФ (подробнее) ФБУ Красноярская лаборатория судебной экспертизы Министерства Юстиции (подробнее) ФБУ Омская лаборатория судебных экспертиз Министерства юстиции РФ (подробнее) ФБУ Томская лаборатория судебных экспертиз Министерства юстиции РФ (подробнее) ФКУ УПРДОР Енисей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