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11.03.2020, оставленным без изменения постановлением Восемнадцатого арбитражного апелляционного суда от 05.06.2020, в удовлетворении требований отказано. Постановлением Арбитражного суда Уральского округа от 07.08.2020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том, что протокол составлен с превышением полномочий, административным органом опущено грубое нарушение законодательства о защите прав юридических лиц при осуществлении контроля, полученные доказательства не могут быть использованы по делу об административном правонарушении, в связи с чем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 с учетом срока давности привлечения к административной ответственности по данной категории дел,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3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