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«Русский дом – Сочи» (покупатель) обратилось в Арбитражный суд Челябинской области с иском, уточненным в порядке статьи 49 Арбитражного процессуального кодекса Российской Федерации, к индивидуальному предпринимателю ФИО1 (продавцу) о расторжении договора купли-продажи от 03.09.2018 № 2518 и взыскании 875 123 рублей 89 копеек предварительной оплаты. ИП ФИО1 обратилась в Арбитражный суд Челябинской области с встречным иском о взыскании с ООО «Русский дом – Сочи» 3 424 966 рублей 09 копеек задолженности по договору купли-продажи от 03.09.2018 № 2518 и 28 491 рубля 85 копеек процентов за пользование чужими денежными средствами, начисленных за период с 24.10.2018 по 20.01.2020. Решением Арбитражного суда Челябинской области от 17.03.2020 первоначальный иск удовлетворен в части взыскания с предпринимателя в пользу общества 875 123 рублей 89 копеек задолженности; в удовлетворении первоначального иска в остальной части, а также в удовлетворении встречного иска отказано. Постановлением Восемнадцатого арбитражного апелляционного суда от 02.06.2020 решение суда первой инстанции в части требования о расторжении договора купли-продажи отменено и производство по делу в этой части прекращено в связи с отказом от иска в указанной части и его приятия судом; в остальной части решение суда оставлено без изменения. Арбитражный суд Уральского округа постановлением от 12.08.2020 постановление суда апелляционной инстанции оставил без изменения. Индивидуальный предприниматель ФИО1 обратилась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материального и процессуального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положениями статей 309 , 310 , 407 , 431 , 457 , 487 Гражданского кодекса Российской Федерации, суды пришли к выводам о доказанности факта перечисления покупателем продавцу денежных средств по договору поставки, неисполнении продавцом в установленный договором срок обязанности по поставке в полном объеме предварительно оплаченного товара, правомерности одностороннего отказа покупателя от исполнения договора в связи с существенным нарушением продавцом его условий и возникновении в связи с этим у покупателя права на возврат суммы предварительной оплаты, что явилось основанием для удовлетворения первоначального иска и отказа в удовлетворении встречного иска. Доводы, изложенные в кассационной жалобе, с учетом установленных фактических обстоятельств,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"РУССКИЙ ДОМ-СОЧИ"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