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Алтайского вагоностроения обратилось в Арбитражный суд Брянской области с иском о взыскании с общества с ограниченной ответственностью «Производственное объединение «Бежицкая сталь» 34 654 рублей 41 копейки убытков, возникших в связи с недостатками спорной детали, выявленными в гарантийный период.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«Норма» и акционерное общество «Вагонная ремонтная компания -1». Решением Арбитражного суда Брянской области от 02.07.2019 в удовлетворении иска отказано. Постановлением Двадцатого арбитражного апелляционного суда от 24.12.2019 решение суда первой инстанции оставлено без изменения. Арбитражный суд Центрального округа постановлением от 21.07.2020 указанные судебные акты оставил без изменения. Акционерное общество Алтайского вагоностроения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469 , 475 , 476 , 477 Гражданского кодекса Российской Федерации, установив, что истец не является покупателем спорного товара у ответчика, суды сделали вывод об отсутствии у истца права требования, связанного с недостатками товара, выявленными в гарантийный период.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Алтайского вагоностроения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"Алтайвагон" (подробнее) Ответчики: АО "ПО "Бежицкая сталь"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