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«МатТехРесурс» обратилось в Арбитражный суд города Москвы с иском о взыскании с общества с ограниченной ответственностью «ТехКом» 16 132 287 рублей 40 копеек задолженности по поставке товара и 4 214 049 рублей 58 копеек процентов за пользование чужими денежными средствами. Решением Арбитражного суда города Москвы от 27.01.2020 иск удовлетворен. Определением Девятого арбитражного апелляционного суда от 09.06.2020 произведена замена истца – общества с ограниченной ответственностью «МатТехРесурс» на правопреемника – ФИО1. Постановлением Девятого арбитражного апелляционного суда от 17.06.2020 решение суда первой инстанции отменено и в удовлетворении иска отказано. Арбитражный суд Московского округа постановлением от 15.09.2020 постановление суда апелляционной инстанции оставил без изменения. Батыцкий Ян Алексеевич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 апелляционной инстанции руководствовался положениями статей 195 , 199 , 200 , 203 , 486 Гражданского кодекса Российской Федерации и исходил из истечения срока исковой давности, поскольку передача товаров носила характер разовых сделок купли- продажи, срок оплаты установлен не был и покупатель был обязан оплатить товар непосредственно до или после передачи ему продавцом товара. Обстоятельств, свидетельствующих о перерыве течения срока исковой давности, судом не установлено.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"МАТТЕХРЕСУРС" (подробнее) Ответчики: ООО "Техком" (подробнее) Судьи дела: Зарубина Е.Н.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