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17.07.2019, оставленным без изменения постановлениями Тринадцатого арбитражного апелляционного суда от 01.06.2020 и Арбитражного суда Северо-Западного округа от 03.09.2020, заявленные требования удовлетворены. В жалобе антимонопольный орган ставит вопрос об отмене принятых по делу судебных актов, ссылаясь на нарушение судами норм,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предприятия (организатор торгов) при проведении аукциона в электронной форме на право заключения договора на поставку песка, выразившиеся в необоснованном установлении в документации излишне суженных требований к техническим и качественным характеристикам закупаемого товара, которые не отвечают требованиям ГОСТа на товар, являющийся предметом закупки, антимонопольным органом принято решение. Управлением жалоба общества признана обоснованной, в действиях организатора торгов выявлено нарушение требований пункта 2 части 1 статьи 3, пункта 1 части 10 статьи 4 Федерального закона от 18.07.2011 № 223-ФЗ «О закупках товаров, работ, услуг отдельными видами юридических лиц» (далее – Закон о закупках). Предписанием антимонопольного органа на предприятие возложена обязанность совершить действия, направленные на устранение нарушений, допущенных при организации и проведении аукциона. Считая ненормативные акты антимонопольного органа недействительными, предприятие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ГОСТом 8736-2014 «Песок для строительных работ. Технические условия», суды пришли к выводу о незаконности оспариваемых ненормативных актов управления. Судебные инстанции исходили из отсутствия в действиях предприятия при проведении спорного аукциона вменяемых управлением нарушений. При этом суды установили, что требования к закупаемому товару не противоречат ГОСТу 8736-2014 «Песок для строительных работ. Технические условия», имеют конкретные значения и позволяют определить класс и технические характеристики товара (песка) и не свидетельствуют о несоблюдении принципа равноправия, справедливости; отсутствует дискриминация и необоснованное ограничение конкуренции по отношению к участникам закупки; спорные требования предъявлены в равной мере ко всем участникам закупки и являются исполнимыми. Доводы кассационной жалобы выражают несогласие антимонопольного органа с выводами судов по обстоятельствам спора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Возражения заявителя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Санкт-ПетербургСКОЕ ГОРОДСКОГО ЭЛЕКТРИЧЕСКОГО ТРАНСПОРТА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