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«ПроПартнерс-Консалтинг»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«Воронеж Агро» 6 738 526 рублей 53 копеек задолженности по договору поставки от 20.11.2017 № 09335-1, 398 039 рублей 39 копеек убытков, 862 693 рублей 30 копеек пени за период с 31.08.2018 по 25.12.2018, с последующим начислением пени по день фактической оплаты задолженности исходя из 0,1% за каждый день просрочки, а также 30 000 рублей расходов на оплату услуг представителя. Решением Арбитражного суда города Москвы от 17.05.2019 иск удовлетворен. Постановлением Девятого арбитражного апелляционного суда от 21.08.2019 решение суда первой инстанции оставлено без изменения. Арбитражный суд Московского округа постановлением от 18.12.2019 указанные судебные акты оставил без изменения. В порядке статьи 42 Арбитражного процессуального кодекса Российской Федерации Рабский Александр Васильевич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а также на то, что судебные акты по данному делу приняты о правах и обязанностях не привлеченного к участию в деле лица.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установив неисполнение ответчиком (поставщиком) обязательств по договору поставки, учитывая условия дополнительного соглашения и частичный возврат уплаченных покупателем денежных средств, руководствуясь положениями статей 15 , 309 , 310 , 330 , 393 , 486 , 506 , 516 Гражданского кодекса Российской Федерации, суды пришли к выводу об обоснованности заявленных требований. Поскольку по настоящему делу спор разрешен между ООО «ПроПартнерс-Консалтинг» (покупателем) и ООО «Воронеж Агро» (поставщиком), являющимися сторонами договора поставки и дополнительного соглашения к нему, на основании которых заявлено требование о взыскании, и обжалуемые судебные акты не затрагивают права и не возлагают никаких обязанностей на ФИО1, доводы жалобы не являются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"ПРОПАРТНЕРС-КОНСАЛТИНГ" (подробнее) Ответчики: ООО "ВОРОНЕЖ АГРО"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