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Московской области от 07.11.2019, оставленным без изменения постановлениями Десятого арбитражного апелляционного суда от 11.02.2020 и Арбитражного суда Московского округа от 15.07.2020, завершена процедура реализации имущества должника с применением правил освобождения последнего от дальнейшего исполнения требований кредиторов.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Арбитражный суд Московской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Завершая процедуру реализации имущества должника,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213.28 Федерального закона от 26.10.2002 № 127-ФЗ «О несостоятельности (банкротстве)», исходил из выполнения всех мероприятий в рамках процедуры банкротства и отсутствия оснований для дальнейшего продления процедуры, призанял наличие возможности применения в отношении должника правил об освобождении от исполнения обязательств в отсутствии признаков преднамеренного или фиктивного банкротства и недоказанности злоупотребления должником своими правами.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«СЕРКОНС Управление Проектами»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"СЕРКОНС УПРАВЛЕНИЕ ПРОЕКТАМИ" (подробнее) Ответчики: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СРО Некоммерческое Партнёрство - Союз "Межрегиональная профессиональных арбитражных управляющих "Альянс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