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11.02.2020, оставленным без изменения постановлением Девятого арбитражного апелляционного суда от 16.06.2020, в удовлетворении требования отказано. Постановлением Арбитражного суда Московского округа от 25.08.2020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удовлетворения жалобы. Как следует из судебных актов, основанием для привлечения к ответственности является установленный антимонопольным органом факт несвоевременного представления сведений, предусмотренных антимонопольным законодательством, по требованию антимонопольного органа. Оценив представленные доказательства, руководствуясь положениями Федерального закона от 26.07.2006 № 135-ФЗ «О защите конкуренции», суды пришли к выводу о доказанности антимонопольным органом в действиях общества состава правонарушения, ответственность за совершение которого предусмотрена частью 5 статьи 19.8 Кодекса Российской Федерации об административных правонарушениях. Вина общества состоит в том, что им не были приняты все необходимые и достаточные меры для надлежащего исполнения возложенных на него антимонопольным законодательством обязанностей. Доводов о том, что документы не представлены ввиду отсутствия данных и/или объективной невозможности их получения, не приведено и судами таких обстоятельств не установлено. Доказательств отсутствия у общества законодательно установленной обязанности по проведению требуемого анализа также не представлено. Процедура и срок давности привлечения к административной ответственности соблюдены, штраф назначен в пределах санкции нормы. Оснований для применения положений о малозначительности судами не выявлено. Доводы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При этом доводов о том, что лицо, которому направлен соответствующий запрос, заблуждалось о целях и задачах истребования документов, не приведено.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ПАО "ТНС ЭНЕРГО ВОРОНЕЖ" (подробнее) Ответчики: Федеральная антимонопольная служба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