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17.12.2019, оставленным без изменения постановлением Четвертого арбитражного апелляционного суда от 18.03.2020 и постановлением Арбитражного суда Восточно-Сибирского округа от 27.07.2020, производство по требованию о взыскании процентов прекращено в связи с отказом от него, в остальной части иска отказано. В кассационной жалобе предприниматель просит об отмене судебных актов, ссылаясь на неполно исследованные обстоятельства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транспортные накладные не признаны подтверждающими оказание услуг для ответчика в рамках договора от 16.07.2018 № 1607/2-2018 исходя из содержащихся в них сведений об отправителе и получателе груза. Другие доказательства не приняты судами в связи с их односторонним характером. Содержание судебных актов опровергает довод о неполноте исследования обстоятельств оказания услуг.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"СНВ-Альянс" (подробнее) Иные лица: Арбитражный суд Иркутской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