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18.12.2019, оставленным без изменения постановлением Девятого арбитражного апелляционного суда от 17.03.2020 и постановлением Арбитражного суда Московского округа от 20.07.2020, в удовлетворении иска отказано.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учреждением (заказчик) и обществом (подрядчик) заключен государственный контракт на выполнение работ по реализации комплекса мероприятий по поддержанию ресурсоснабжения и обеспечению полноценного бесперебойного функционирования учреждений, подведомственных Департаменту здравоохранения города Москвы, в части систем и сетей теплоснабжения в периоде эксплуатации 2017 года. В связи с частичным отсутствием потребности в проведении работ по текущему ремонту стороны 30.12.2017 подписали соглашение о расторжении контракта. Согласно данному соглашению стоимость фактически выполненных подрядчиком работ по контракту составила 177 938 224 рубля 47 копеек, которая оплачена заказчиком в полном объеме. В обоснование иска учреждение сослалось на завышение обществом объема работ на сумму 5 763 011 рублей 70 копеек, выявленное по результатам проверки, проведенной ГКУ «СФК ДЗМ». Также учреждением начислены штраф по пункту 7.7 контракта и проценты за пользование чужими денежными средствами в порядке статьи 395 Гражданского кодекса Российской Федерации. Рассматривая спор, суды, оценив представленные в материалы дела доказательства, руководствуясь положениями статей 309 , 310 , 702 , 720 , 723 , 746 , 748 , 753 , 1102 Гражданского кодекса Российской Федерации, учитывая разъяснения, изложенные в пунктах 12 и 13 информационного письма Президиума Высшего Арбитражного Суда Российской Федерации от 24.01.2000 № 51 «Обзор практики разрешения споров по договору строительного подряда», пришли к выводу об отсутствии оснований для удовлетворения требований учреждения. Судебные инстанции исходили из выполнения подрядчиком принятых на себя по контракту обязательств должным образом и в полном объеме, подписания заказчиком актов выполненных работ без возражений, в том числе в отсутствие претензий к качеству и объему, а также оплаты работ в установленном размере. Вместе с тем предполагаемое учреждением завышение объема выполненных работ документально не подтверждено, к скрытым недостаткам не относится и могло быть выявлено в ходе приемки работ. Доводы, изложенные в кассационной жалобе, сводятся к повторению позиции учреждения по спору, были предметом рассмотрения судов и получили правовую оценку с учетом установленных обстоятельств, условий государственного контракта и положений гражданского законодательства. Несогласие заявителя кассационной жалобы с выводами судов, иная оценка фактических обстоятельств дела и иное применение к ним положений закона не означают допущенной при рассмотрении дела судебной ошибки, не свидетельствуют о существенных нарушениях норм материального и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города Москвы «Соцэнерго Департамента здравоохранения города Москвы»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ГОСУДАРСТВЕННОЕ КАЗЕННОЕ УЧРЕЖДЕНИЕ ГОРОДА МОСКВЫ "СОЦЭНЕРГО ДЕПАРТАМЕНТА ЗДРАВООХРАНЕНИЯ ГОРОДА МОСКВЫ" (подробнее) Ответчики: ООО "Системные решения" (подробнее) Судьи дела: Антонова М.К.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