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признании недействительным решения собрания кредиторов должника от 05.03.2020, принятое по четвёртому вопросу повестки дня об определении места проведения собраний кредиторов должника. Определением Арбитражного суда Кемеровской области от 03.07.2020, оставленным без изменения постановлением Седьмого арбитражного апелляционного суда от 21.08.2020, заявление оставлено без удовлетворения.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Кемеровской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суды первой и апелляционной инстанции, руководствуясь положениями статей 2, 12, 14, 15 Федерального закона от 26.10.2002 № 127-ФЗ «О несостоятельности (банкротстве)», пунктом 1 Обзора судебной практики по вопросам, связанным с признанием недействительными решений собраний и комитетов кредиторов в процедурах банкротства, утверждённого Президиумом Верховного Суда Российской Федерации 26.12.2018, исходили из принятия оспариваемого решения в пределах компетенции собрания кредиторов в отсутствии доказательств нарушения прав и законных интересов участвующих в деле о банкротстве и арбитражном процессе по данному делу лиц.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«ВТБ Факторинг»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