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предприятие обратилось в суд с заявлением о включении в реестр требований кредиторов должника (далее – реестр) его требования в размере 53 773 775 рублей 29 копеек неустойки. Определением Арбитражного суда города Санкт-Петербурга и Ленинградской области от 24.01.2020, оставленным без изменения постановлением Тринадцатого арбитражного апелляционного суда от 26.05.2020, требование предприятия в заявленном размере включено в третью очередь реестра с удовлетворением после погашения основного долга. Постановлением Арбитражного суда Северо-Западного округа от 14.08.2020 вышеуказанные судебные акты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дело на новое рассмотрение, суд округа, руководствуясь статьями 329, 330, 702, 708 Гражданского кодекса Российской Федерации, статьями 16, 49, 63, 71 Федерального закона от 26.10.2002 № 127-ФЗ «О несостоятельности (банкротстве)», исходил из того, что изложенные в них выводы основаны на неправильном применении норм материального права, неполном выяснении фактических обстоятельств дела, имеющихся в нём доказательств и доводов сторон.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его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«Центральный аэрогидродинамический институт имени профессора Н.Е. Жуковского»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