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14.11.2019 иск удовлетворен. Постановлением Двадцатого арбитражного апелляционного суда от 22.01.2020 решение суда первой инстанции отменено, в удовлетворении иска отказано. Постановлением Арбитражного суда Центрального округа от 13.07.2020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отменил решение суда первой инстанции, и с учетом установленных обстоятельств в иске отказал, признав, что общество (подрядчик) обязано устранить выявленные недостатки в пределах гарантийного срока безвозмездно, требование о взыскании с ответчика задолженности по оплате спорных работ по устранению недостатков, в отсутствие доказательств ненадлежащей эксплуатации трассы ответчиком, является неправомерным.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При этом вопреки доводам жалобы подрядчик, не сообщивший заказчику о необходимости выполнения дополнительных работ, не учтенных в технической документации, также не вправе требовать оплаты этих работ.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"АЛЬТЕРНАТИВНЫЕ БИЗНЕС РЕШЕНИЯ" (подробнее) ООО "СтройПроектИнжиниринг" (подробнее) Ответчики: Администрация Муниципального образования Узловский район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