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30.10.2019, оставленным без изменения постановлением Десятого арбитражного апелляционного суда от 04.02.2020 и постановлением Арбитражного суда Московского округа от 08.07.2020, с общества в пользу компании взыскано 290 412 руб., в удовлетворении остальной части иска отказано. В кассационной жалобе и дополнении к ней, поданных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актов, доводов кассационной жалобы и дополнения к ней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договорных обязательств, суды первой и апелляционной инстанций пришли к выводу о наличии оснований для взыскания неустойки и, учитывая произведенное компанией удержание неустойки из стоимости работ, скорректировав период начисления неустойки, применив положения статьи 333 Гражданского кодекса Российской Федерации, частично удовлетворили иск, с чем впоследствии согласился суд округа. Доводы, изложенные в кассационной жалобе и дополнении к ней, в том числе о преюдициальном характере обстоятельств, установленных в рамках дела № А41-82791/2019, не опровергают выводы судов и с учетом установленных фактических обстоятельств не свидетельствуют о нарушении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"Первый ДОМ" (подробнее) Ответчики: ООО "Техстрой"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