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21.02.2020, оставленным без изменения постановлением арбитражного апелляционного суда от 15.06.2020 и постановлением Арбитражного суда Волго-Вятского округа от 07.09.2020, иск удовлетворен. В кассационной жалобе заявитель, ссылаясь на нарушение норм материального и процессуального права, просит обжалуемые судебные акты отменить полностью и отказать в удовлетворении исковых требований в полном объеме.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Указанных оснований по результатам изучения судебных актов, принятых по делу, и доводов кассационной жалобы заявителя не установлено. Принимая обжалуемые судебные акты, суды, руководствуясь положениями статей 309 , 606 , 614 , 632 Гражданского кодекса Российской Федерации, исследовав и оценив в порядке статьи 71 АПК РФ представленные в дело доказательства, установив, что ответчик в нарушение пункта 1.7 договора от 04.07.2018 № 3072174 произвел выход 04.07.2018 арендованного у истца локомотива на пути общего пользования без оформления перевозочных документов, сдав локомотив из аренды в эксплуатационное локомотивное депо Лянгасово по акту от 04.07.2018 № 2, пришли к выводу о правомерности требования о взыскании платы за пробег собственного (арендованного) локомотива, рассчитанной на основании Прейскуранта № 10-01, утвержденного постановлением Федеральной энергетической комиссии Российской Федерации от 17.06.2003 № 47-т/5. При этом судами отклонено заявление ответчика о пропуске годичного срока исковой давности, так как с учетом подлежащих применению правовых норм общий срок исковой давности по заявленному требованию составляет три года (статья 196 Гражданского кодекса Российской Федерации), который истцом не пропущен. Выраженное в жалобе несогласие с данной судами квалификацией правовой природы спорных правоотношений и выводом об отсутствии пропуска срока исковой давности направлено на переоценку установленных обстоятельств, что находится за пределами компетенции суда кассационной инстанции. Иные доводы жалобы основаны на неверном толковании норм материального права. Ссылки заявителя на судебную практику несостоятельны, поскольку указанные в кассационной жалобе судебные акты приняты с учетом иных фактических обстоятельств. Существенных нарушений норм материального и (или) процессуального права, повлиявших на исход дела, судами не допущено.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«Кировский машзавод 1 мая»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"Российские железные дороги" (подробнее) Ответчики: АО "КИРОВСКИЙ МАШЗАВОД 1 МАЯ"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