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05.03.2020, оставленным без изменения постановлением Пятнадцатого арбитражного апелляционного суда от 09.06.2020 и постановлением Арбитражного суда Северо-Кавказского округа от 13.08.2020, исковые требования удовлетворены частично. С ответчика в пользу истца взыскано 1 300 000 руб. неосновательного обогащения, 12 136 руб. 30 коп. процентов за пользование чужими денежными средствами. В удовлетворении остальной части иска отказано. В кассационной жалобе заявитель, ссылаясь на нарушения норм материального и процессуального права, просит обжалуемые судебные акты отменить и направить дело на новое рассмотрение в Арбитражный суд Краснодарского края.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обжалуемые судебные акты, суды, руководствуясь положениями статей 395 , 431 , 434 , 438 , 1102 , 1103 Гражданского кодекса Российской Федерации, разъяснениями, изложенными в пункте 1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пунктах 51, 58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пункте 13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исследовав и оценив в порядке статьи 71 АПК РФ представленные в дело доказательства, установив факт излишнего внесения истцом арендной платы по договору аренды от 10.04.2017 № 01, который прекращен 29.04.2018, пришли к выводу о наличии оснований для удовлетворения иска в части взыскания суммы неосновательного обогащения в полном объеме и процентов за пользование чужими денежными средствами – частично. При этом суды исходили из того, что стороны не достигли соглашения об изменении размера арендной платы, в связи с чем оплата использования переданного истцу имущества подлежит исчислению в указанном в договоре размере. Доводы жалобы о недействительности договора аренды и несоответствии цены спорного договора действительному ежегодному размеру арендной платы были рассмотрены судами апелляционной и кассационной инстанций и мотивированно отклонены. Доводы жалобы направлены на переоценку представленных в материалы дела доказательств, что применительно к полномочиям суда кассационной инстанции не может расцениваться в качестве основания для отмены обжалованных судебных актов.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Кукушкина Олеся Александровна (подробнее) ИП Кукушкина Олеся Александровна для представителя Гофман В.В.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