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26.03.2019 иск удовлетворен. Девятый арбитражный апелляционный суд постановлением от 17.01.2020 отменил решение от 26.03.2019 и в удовлетворении иска отказал. Арбитражный суд Московского округа постановлением от 16.07.2020 постановление Девятого арбитражного апелляционного суда от 17.01.2020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Таким образом, вывод суда об отсутствии основания для переложения на ответчика произведенной выплаты соответствует закону и договору.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