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09.07.2019, оставленным без изменения постановлением Девятого арбитражного апелляционного суда от 11.11.2019, в удовлетворении иска отказано в связи с пропуском срока исковой давности. Арбитражный суд Московского округа постановлением от 13.07.2020 решение от 09.07.2019 и постановление Девятого арбитражного апелляционного суда от 11.11.2019 оставил без изменения. В кассационной жалобе общество «Армения Иншуранс» просит об отмене судебных актов, ссылаясь на неправильное исчисление срока исковой давности, его перерыв предшествовавшим предъявлением иска по установленной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Для исчисления срока исковой давности судами правомерно применялись условия договора от 05.03.2015 № 15FR0087RMT-01 о действиях сторон в связи с наступившим страховым случаем. Суды установили, что ответчик в течение согласованных 10-и банковских дней не оплатил направленный ему брокером счет на спорную сумму убытков и начинающий течение по завершении этого периода двухлетний срок на предъявление иска об убытках истек ко дню подачи рассматриваемого искового заявления в арбитражный суд (статьи 199 , 200 , 966 Гражданского кодекса Российской Федерации). Перерыва течения срока исковой давности в связи с обстоятельствами, соответствующими статьям 203 , 204 Гражданского кодекса Российской Федерации, не установлено, учитывая отсутствие со стороны ответчика признания долга и возвращение ранее поданного искового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обществу с ограниченной ответственностью «Армения Иншуранс»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ОООО Армения Иншуранс (подробнее) ООО "Транссибирская корпорация" (подробнее) Ответчики: ООО Филиал ТК ЕВРОПЕЙСКОЕ БЮРО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