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23.11.2019, оставленным без изменения постановлением Тринадцатого арбитражного апелляционного суда от 18.02.2020, иск удовлетворен. Постановлением Арбитражного суда Северо-Западного округа от 11.08.2020 решение суда первой инстанции и постановление суда апелляционной инстанции отменены, принят новый судебный акт об отказе в удовлетворении исковых требований. В кассационной жалобе заявитель, ссылаясь на нарушение норм материального права, просит обжалуемое постановление суда округа отменить, оставить в силе решение суда первой инстанции и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Указанных оснований по результатам изучения судебных актов, принятых по делу, и доводов кассационной жалобы заявителя не установлено. Удовлетворяя исковые требования, суды первой и апелляционной инстанций исходили из положений статей 328 , 329 , 330 , 421 Гражданского кодекса Российской Федерации. Отменяя принятые по делу судебные акты и принимая свой судебный акт, суд округа, руководствуясь положениями статей 329 , 381.1 , 429 Гражданского кодекса Российской Федерации, с учетом обстоятельств, установленных судами первой и апелляционной инстанции, исходил из факта прекращения предварительного договора, который не породил никаких обязательств в связи с окончанием его срока, в который стороны должны были заключить договор, что повлекло прекращение обеспечивающего обязательства (внесение обеспечительного платежа) и утрату истцом права требовать от ответчика как самого обеспечительного платежа, так и неустойки за нарушение срока его выплаты. Суд округа также указал на то, что обеспечительный платеж не имеет самостоятельного значения в отрыве от основного обязательства, в связи с чем не является основанием для взыскания неустойки то обстоятельство, что неустойка начислена в пределах срока действия предварительного договора. Доводы жалобы не опровергают выводы судебных инстанций, положенные в основу принятых по делу судебных актов и не подтверждают наличия существенных нарушений норм материального и (или) процессуального права, повлиявших на исход дела. Ссылки заявителя на судебную практику несостоятельны, поскольку указанные в кассационной жалобе судебные акты приняты с учетом иных фактических обстоятельств.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«Вторая генерирующая компания оптового рынка электроэнергии»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ПАО "Вторая генерирующая компания оптового рынка электроэнергии" (подробнее) Ответчики: ООО "ГазНефтеТранс" (подробнее) Судьи дела: Чучунова Н.С. (судья) (подробнее) Судебная практика по: Предварительный договор Судебная практика по применению нормы ст. 429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