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10.12.2019, оставленным без изменения постановлением Четвертого арбитражного апелляционного суда от 20.03.2020 и постановлением Арбитражного суда Восточно-Сибирского округа от 23.07.2020, первоначальные исковые требования удовлетворены; встречный иск удовлетворен частично; в результате зачета удовлетворенных требований с общества в пользу компании взыскано 5 017 265 руб. 35 коп. задолженности; распределены судебные расходы по уплате государственной пошлины. В кассационной жалобе, поданной в Верховный Суд Российской Федерации, общество,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компании (заказчик) мотивированы возникновением на стороне общества (исполнитель) неосновательного обогащения в результате завышения объема услуг, оказанных исполнителем в период с января по декабрь 2018 года в рамках договора от 09.11.2017 № СЛЗ-45-17 на оказание услуг строительного контроля и технического надзора за строительством объектов (в редакции дополнительного соглашения; далее – договор). Встречный иск общества мотивирован ненадлежащим исполнением компанией обязательств по оплате услуг, оказанных в рамках договора в период с сентября по декабрь 2018 года.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условий договора и завышения им объема оказанных услуг в заявленные периоды, руководствуясь статьями 309 , 310 , 702 , 720 , 779 , 781 , 783 , 1102 , 1107 Гражданского кодекса Российской Федерации, статьей 53 Градостроительного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частичного удовлетворения встречного иска. С указанными выводами впоследствии согласился суд округа. Довод заявителя о принятии судебного акта о правах и обязанностях лиц, не привлеченных к участию в деле, был предметом рассмотрения апелляционного и окружного судов и получил правовую оценку. Доводы кассационной жалобы не опровергают выводы судов и не свидетельствуют о существенном нарушении судами норм материального и процессуального права, повлиявших на исход дела, а по существу направлены на переоценку установленных фактических обстоятельств дела, поэтому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 Технополис»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"СЛ ЗОЛОТО" (подробнее) Ответчики: ООО "СК Технополис" (подробнее) Иные лица: Арбитражный суд Иркутской области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