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11.12.2019, оставленным без изменения постановлением Пятнадцатого арбитражного апелляционного суда от 14.02.2020, в удовлетворении иска отказано. Арбитражный суд Северо-Кавказского округа постановлением от 08.07.2020 решение от 11.12.2019 и постановление Пятнадцатого арбитражного апелляционного суда от 14.02.2020 оставил без изменения. В кассационной жалобе общество просит об отмене судебных актов вследствие несоответствия выводов судов обстоятельствам дела и представленным доказательствам, неправильного применения норм материального права.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перевозки, признали доказанными возражения ответчика о непричастности к порче перевозимого груза, поэтому отказали в применении ответственности в соответствии со статьей 796 Гражданского кодекса Российской Федерации. Изменение оценки доказательств, касающихся вины перевозчика и размера убытков,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Трансавтолидер»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