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30.12.2019, оставленным без изменения постановлением Семнадцатого арбитражного апелляционного суда от 24.03.2020 и постановлением Арбитражного суда Уральского округа от 03.07.2020, в удовлетворении исковых требований отказано.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направить дело на новое рассмотрение в Арбитражный суд Свердловской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(субподрядчик) мотивированы тем, что компания (подрядчик) не оплатила в полном объеме работы, выполненные субподрядчиком в рамках договора субподряда от 07.05.2018 № 07052018/Щ.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у общества не возникло право на получение суммы гарантийного удержания ввиду отсутствия доказательств ввода объекта в эксплуатацию; компанией из стоимости выполненных обществом работ правомерно удержана неустойка, размер которой превышает сумму предъявленной ко взысканию задолженности, руководствуясь статьями 431 , 702 , 708 , 711 , 720 , 746 , 753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требований. С указанными выводами впоследствии согласился суд округа. Доводы кассационной жалобы аналогичны доводам, ранее заявлявшимся в судах и получившим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«Новомосковское специализированное управление «Монтажхимзащита»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"НОВОМОСКОВСКОЕ СПЕЦИАЛИЗИРОВАННОЕ УПРАВЛЕНИЕ "МОНТАЖХИМЗАЩИТА" (подробнее) Ответчики: АО УПРАВЛЯЮЩАЯ КОМПАНИЯ СТРОИТЕЛЬНОГО ХОЛДИНГА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