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22.07.2019, оставленным без изменения постановлением Девятого арбитражного апелляционного суда от 25.02.2020 и постановлением Арбитражного суда Московского округа от 15.07.2020, в удовлетворении иска отказано. В кассационной жалобе, поданной в Верховный Суд Российской Федерации, клуб, ссылаясь на нарушение судами норм материального и процессуального права, просит отменить указанные судебные акты и направить дела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клуба мотивированы тем, что организация не выплатила ему сумму компенсации за перешедшего к ней спортсмена в период действия заключенного между последним и клубом контракта.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420 , 421 , 425 , 1102 Гражданского кодекса Российской Федерации, Положением Общероссийской общественной организации «Федерация гандбола России» о переходах спортсменов из одного клуба в другой, суды первой и апелляционной инстанций пришли к выводу о том, что у организации не возникла обязанность по перечислению клубу компенсационной выплаты и отказали в удовлетворении иска С указанными выводами впоследствии согласился суд округа.Доводы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автономной некоммерческой организации Гандбольный клуб «КАУСТИК»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АНО Гандбольный клуб КАУСТИК (подробнее) Ответчики: АНО Столичный центр развития гандбола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