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23.12.2019, оставленным без изменения постановлением Семнадцатого арбитражного апелляционного суда от 25.02.2020 и постановлением Арбитражного суда Уральского округа от 02.07.2020, иск удовлетворен. В кассационной жалобе кооператив просит об отмене судебных актов, ссылаясь на несогласование цены, явившейся основанием для расчета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необходимые в силу статей 15 , 393 Гражданского кодекса Российской Федерации условия для взыскания убытков вследствие ненадлежащего исполнения договора, установлены судами первой и апелляционной инстанций в соответствии с компетенцией и не подлежат пересмотру на стадии кассационного производства.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сельскохозяйственному производственному кооперативу «Кожильский»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ОАО "Милком" (подробнее) Ответчики: Сельскохозяйственный "Кожильский"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