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Ульяновской области от 03.12.2019, оставленным без изменения постановлением Одиннадцатого арбитражного апелляционного суда от 19.02.2020 и постановлением Арбитражного суда Поволжского округа от 30.06.2020, иск удовлетворен частично. В кассационной жалобе общество «Смирнов и Партнеры» просит об отмене судебных актов, ссылаясь на неосновательные уменьшение неустойки и отказ во взыскании штрафа.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Установление обстоятельств, влияющих на размер неустойки (статья 333 Гражданского кодекса Российской Федерации) в пределах данного дела, является компетенцией судов, рассматривающих дело по правилам для суда первой инстанции, и связанные с этими обстоятельствами доводы не создают оснований для кассационного пересмотра судебных актов. Отсутствие у истца права на штраф, причитающийся гражданину- потребителю, мотивировано ссылкой на закон.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«Смирнов и Партнеры»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ЮРИДИЧЕСКАЯ КОМПАНИЯ "СМИРНОВ И ПАРТНЕРЫ" (подробнее) Ответчики: АО "Взлет" (подробнее) Судьи дела: Ксенофонтова Н.А.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