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конкурсный управляющий имуществом индивидуального предпринимателя ФИО3 ФИО4 обратился в суд с иском к ассоциации «Региональная саморегулируемая организация профессиональных арбитражных управляющих» (далее – ассоциация) о взыскании 2 000 954 рублей 09 копеек из компенсационного фонда. К участию в деле в качестве третьего лица, не заявляющего самостоятельные требования относительно предмета спора, привлечён арбитражный управляющий ФИО2 Решением Арбитражного суда города Москвы от 28.06.2018, оставленным без изменения постановлениями Девятого арбитражного апелляционного суда от 31.08.2018 и Арбитражного суда Московского округа от 18.01.2019, требования удовлетворены. Впоследствии ФИО2 обратился в Девятый арбитражный апелляционный суд с апелляционной жалобой, заявив ходатайство о восстановлении пропущенного срока на подачу жалобы на решение от 28.06.2018. Определением Девятого арбитражного апелляционного суда от 05.06.2020, оставленным без изменения постановлением Арбитражного суда Московского округа от 22.07.2020, указанная апелляционная жалоба возвращена заявителю. В кассационной жалобе, поданной в Верховный Суд Российской Федерации, заявитель просит отменить указанные определение апелляционного суда от 05.06.2020 и постановление суда округа от 22.07.2020, направить дело на новое рассмотрение в Девятый арбитражный апелляционный суд в ином составе судей.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апелляционную жалобу, апелляционный суд, руководствуясь положениями статей 259 и 264 Арбитражного процессуального кодекса Российской Федерации, исходил из её подачи по истечении пресекательного шестимесячного срока, в пределах которого срок подачи жалобы может быть восстановлен. Проверяя обоснованность возврата жалобы заявителя, окружной суд не установил нарушений норм процессуального права и согласился с указанными выводами.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Ассоциация "Региональная саморегулируемая организация профессиональных арбитражных управляющих"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