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17.09.2019, оставленным без изменения постановлением Пятнадцатого арбитражного апелляционного суда от 19.12.2019 и постановлением Арбитражного суда Северо-Кавказского округа от 06.07.2020, в удовлетворении исковых требований отказано. В кассационной жалобе, поданной в Верховный Суд Российской Федерации, ФИО1,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Краснодарского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Как следует из судебных актов, исковые требования ФИО1 (исполнитель) мотивированы неисполнением ответчиками (заказчики) обязательств по оплате услуг по поиску арендаторов, оказанных истцом в рамках договора от 04.08.2017 № 5.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истолковав условия спорного договора, руководствуясь статьями 309 , 310 , 431 , 779 , 781 Гражданского кодекса Российской Федерации, суды первой и апелляционной инстанций пришли к выводу об отсутствии оснований для удовлетворения исковых требований, исходя из недоказанности истцом факта оказания услуг ответчикам. С указанными выводами впоследствии согласился суд округа. Изложенные в кассационной жалобе доводы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ИП Палий В В (подробнее) ИП Палий Виктория Владимировна (подробнее) ИП Саркисова Каринэ Гургеновна (подробнее) ИП Саркисова К Г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