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Сизинцева Е.В. обратилась в суд с заявлением о включении в реестр требований кредиторов должника её требования в размере 45 376 рублей 80 копеек. Определением Арбитражного суда города Москвы от 28.10.2019, оставленным без изменения постановлениями Девятого арбитражного апелляционного суда от 16.03.2020 и Арбитражного суда Московского округа от 13.07.2020, отказано в удовлетворении заявления. В кассационной жалобе, поданной в Верховный Суд Российской Федерации, заявитель просит отменить указанные судебные акты, направить обособленный спор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статей 10 и 17.4 Федерального закона от 24.11.1996 № 132-ФЗ «Об основах туристской деятельности в Российской Федерации», установив, что у должника отсутствовала обязанность по выплате страхового возмещения ввиду того, что событие, положенное в основу настоящих требований Сизинцевой Е.В., страховым случаем не является, пришли к выводу об отсутствии оснований для удовлетворения заявления. Выводы судов соответствуют нормам права, оснований для переоценки выводов судов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Сизинцевой Евгении Викторовне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