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Семченко Е.В. обратился в суд с заявлением о признании недействительными сделками договоров купли-продажи земельных участков от 25.09.2017 № 28, 30, заключенных между должником и Копейкиной Г.М., о применении последствий недействительности сделки. Определением Арбитражного суда Московской области от 28.10.2019, оставленным без изменения постановлениями Десятого арбитражного апелляционного суда от 19.03.2020 и Арбитражного суда Московского округа от 20.07.2020, заявление удовлетворено, применены последствия недействительности сделок в виде взыскания с Копейкиной Г.М. в конкурсную массу должника 5 781 000 рублей.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результатов судебной оценочной экспертизы в соответствии с правилами главы 7 Арбитражного процессуального кодекса Российской Федерации, руководствуясь положениями пункта 1 статьи 61.2 и статьи 61.6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сделок, совершённых в пределах года до возбуждения производства по настоящему делу о банкротстве должника при неравноценном встречном предоставлении с целью причинения вреда имущественным правам кредиторов,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Копейкиной Галине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