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08.11.2019 в удовлетворении заявленного требования отказано. Постановлением Десятого арбитражного апелляционного суда от 03.02.2020 решение суда первой инстанции отменено, заявление удовлетворено. Постановлением Арбитражного суда Московского округа от 30.07.2020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первой инстанции и округа,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общество осуществляет деятельность по управлению многоквартирным домом, который оснащен индивидуальным тепловым пунктом, показывающим общее количество тепловой энергии, поступающей от ресурсоснабжающих организаций и распределяемой на отопление и подогрев воды. В 2019 году отопительный период в Московской области завершился 24.04.2019. По жалобе собственника жилого помещения многоквартирного дома и на основании распоряжения от 24.06.2019 № 08ОГ/14-1102-12-19-2019 жилищной инспекцией проведена внеплановая документарная проверка в отношении общества по вопросам начисления и взимания платы за коммунальную услугу, указанную обществом как «теплоэнергия» по общедомовым нуждам. При проведении проверки установлено, что общество начисляло плату по услуге «теплоэнергия» на общедомовые нужды за май 2019 года вне отопительного периода. Выявив данное нарушение, административный орган составил акт и выдал предписание об устранении обществом указанного нарушения. Не согласившись с предписанием жилищной инспекции, общество обратилось в арбитражный суд. Отказывая в удовлетворении заявленного требования, суд первой инстанции, руководствуясь положениями Жилищного кодекса Российской Федерации,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пришел к выводу о законности оспоренного предписания, поскольку плата по услуге «теплоэнергия» на общедомовые нужды вне отопительного периода за расчетный период «май» в нарушение указанных норм предъявлена после окончания отопительного периода и фактического прекращения предоставления потребителю данной коммунальной услуги. Отменяя решение суда и признавая предписание незаконным, суд апелляционной инстанции указал на допустимость двух способов оплаты коммунальной услуги по отоплению - в течение отопительного периода либо равномерно в течение календарного года. Судом отмечено, что оспоренное предписание не содержит конкретного перечня жилых и нежилых помещений, собственникам (нанимателям) которых необходимо осуществить возврат денежных средств, не указан способ осуществления возврата, сумма денежных средств, подлежащая возврату. Отменяя постановление суда апелляционной инстанции и оставляя в силе решение суда, суд округа исходил из того, что при рассмотрении дела в суде первой инстанции из квитанций, выставляемых собственникам помещений установлено, что начисление за коммунальную услугу «отопление» производится неравномерно, следовательно, общество выбрало расчет оплаты за данную услугу в течение отопительного периода (1/7). При этом в решении суда первой инстанции отсутствуют выводы о том, что статья «теплоэнергия ОДН» состояла из платы на отопление. Вопрос о том, как общество будет отграничивать расходы на ГВС ОДН от расходов на отопление, находится в ведении управляющей компании и исполнителя услуг, указанные обстоятельства не могут служить основанием для невозвращения собственникам помещений необоснованно начисленных и уплаченных ими сумм за отопление, и соответственно, для признания оспариваемого предписания жилищной инспекции незаконным. Признаков неисполнимости оспоренного предписания судами первой инстанции и округа не установлено. Доводы общества, изложенные в кассационной жалобе, являлись предметом рассмотрения судов первой инстанции и округа, не опровергают их выводы, направлены на переоценку установленных обстоятельств,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«Управляющая компания «Супонево»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"УПРАВЛЯЮЩАЯ КОМПАНИЯ "СУПОНЕВО" (подробнее) Ответчики: Главное управление Московской области "Государственная жилищная инспекция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