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публичное акционерное общество «Банк ВТБ» (далее – банк) обратилось в суд с заявлением о включении в реестр требований кредиторов должника его требований размере 2 444 095 рублей 12 копеек, из которых 1 044 545 рублей 42 копейки как обеспеченных залогом имущества должника – автомобиля Land Rover (VIN &lt;***&gt;; далее – автомобиль). Определением Арбитражного суда Краснодарского края от 27.03.2020, оставленным без изменения постановлениями Пятнадцатого арбитражного апелляционного суда от 15.06.2020 и Арбитражного суда Северо-Кавказского округа от 25.08.2020, требования банка в размере 1 044 545 рублей 42 копеек основного долга включены в третью очередь реестра как обеспеченные залогом имущества должника – автомобиля, а также 1 196 278 рублей 99 копеек задолженности и отдельно 203 270 рублей 71 копейки пеней включены в третью очередь реестра требований кредиторов должника. В кассационной жалобе, поданной в Верховный Суд Российской Федерации, заявители просят отменить указанные постановления судов апелляционной инстанции и округа, изменить определение суда первой инстанции в части удовлетворения требований банка о включении требований последнего в реестра как обеспеченных залогом имущества должника.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2 статьи 346 Гражданского кодекса Российской Федерации, статей 71 и 100 Федерального закона от 26.10.2002 № 127-ФЗ «О несостоятельности (банкротстве)», указав на факт регистрации автомобиля за должником на момент рассмотрения настоящего обособленного спора и установив, что отношения по переходу прав собственности на автомобиль носили мнимый характер и преследовали цель создания препятствия для обращения взыскания на данное имущество, признали обоснованность заявления банка о признании за ним статуса залогового кредитора.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ФИО2, ФИО3 и ФИО4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"Столичное АВД" (подробнее) ООО "Югорское коллекторское агентство" (подробнее) ПАО Банк ВТБ (подробнее) ПАО БАНК "ПЕРВОМАЙСКИЙ" (подробнее) ПАО "Банк "ТРАСТ" (подробнее) ПАО "Сбербанк России" (подробнее) ПАО "Сбербанк России в лице Краснодарского отделения №8619 (подробнее) Ответчики: Олешко (гладких) Неонила Александровна (подробнее) Иные лица: ИФНС России по городу-курорту Анапа Краснодарского края (подробнее) Министерство Экономики по КК (подробнее) НП СРО "Альянс управляющих" (подробнее) НПС СОПАУ АЛЬЯНС УПРАВЛЯЮЩИХ (подробнее) РОСРЕЕСТР по КК (подробнее) Управление по делам семьи и детей администрации МО г. Анапа (подробнее) Ф/У Добрынин И.В.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