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18.10.2019, оставленным без изменения постановлениями Двадцатого арбитражного апелляционного суда от 04.02.2020 и Арбитражного суда Центрального округа от 28.07.2020, требования общества удовлетворены частично, решение антимонопольного органа от 24.04.2019 признано незаконным. В удовлетворении остальной части заявленных требований отказано. В кассационной жалобе уполномоченный орган ставит вопрос об отмене принятых по делу судебных актов в части признания незаконным решения управления от 24.04.2019, ссылаясь на нарушение судами норм материального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жалобы общества на действия аукционной комиссии, признавшей заявку общества несоответствующей требованиям, установленным документацией об электронном аукционе, антимонопольным органом принято решение о признании жалобы общества необоснованной. Согласно протоколу подведения итогов от 22.04.2019 победителем аукциона признан предприниматель, с которым 08.05.2019 заключен государственный контракт. Указанные обстоятельства послужили основанием для обращения общества в арбитражный суд с настоящим заявлением. Удовлетворяя требования общества в части признания решения управления незаконным, суды,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 руководствуясь положениями статей 33, 66, 67 Федерального закона от 05.04.2013 № 44-ФЗ «О контрактной системе в сфере закупок товаров, работ, услуг для обеспечения государственных и муниципальных нужд», пришли к выводу о том, что решение антимонопольного органа не соответствует положениям законодательства о контрактной системе. При этом судебные инстанции исходили из того, что заявка общества отвечала требованиям, установленным документацией об электронном аукционе, в связи с чем у аукционной комиссии не имелось оснований для отказа обществу в допуске к участию в аукционе. Доводы уполномоченного органа, изложенные в кассационной жалобе, не подтверждают наличие существенных нарушений норм материального права и (или) норм процессуального права, повлиявших на исход дела. Несогласие заявителя с выводами судов, иная оценка им фактических обстоятельств дела и иное толкование к ним положений закона,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Главному управлению Смоленской области по регулированию контрактной системы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"Центрэлектросвязь" (подробнее) Ответчики: ГЛАВНОЕ УПРАВЛЕНИЕ СМОЛЕНСКОЙ ОБЛАСТИ ПО РЕГУЛИРОВАНИЮ КОНТРАКТНОЙ СИСТЕМЫ (подробнее) Департамент Смоленской области по образованию и науке (подробнее) Управление Федеральной антимонопольной службы по Смоленской области (подробнее) Иные лица: Инспекция Федеральной налоговой службы по г. Смоленску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