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фонд капитального ремонта многоквартирных домов города Москвы (бенефициар) обратился в Арбитражный суд города Москвы с иском о взыскании с АКБ «Абсолют Банк» (публичное акционерное общество) (гаранта) 2 733 354 рублей 09 копеек по банковской гарантии. Решением Арбитражного суда города Москвы от 10.02.2020 иск удовлетворен. Постановлением Девятого арбитражного апелляционного суда от 05.06.2020 решение суда первой инстанции оставлено без изменения. Арбитражный суд Московского округа постановлением от 27.08.2020 указанные судебные акты оставил без изменения. АКБ «Абсолют Банк» (публичное акционерное общество)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суды руководствовались положениями статей 368 , 370 , 374 , 377 , 378 Гражданского кодекса Российской Федерации и исходили из того, что требование бенефициара и приложенные документы, в том числе платежное поручение, подтверждающее перечисление аванса принципалу, соответствуют условиям гарантии, предъявлены в установленном порядке и в пределах срока ее действия и отсутствуют предусмотренные статьей 376 Гражданского кодекса Российской Федерации основания для отказа гаранта в совершении платежа. Доводы, изложенные в кассационной жалобе,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АКБ «Абсолют Банк» (публичное акционерное общество)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Фонд капитального ремонта многоквартирных домов города Москвы (подробнее) Ответчики: ПАО Акционерный коммерческий банк "Абсолют Банк"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