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«Коммунальные технологии» обратилось в Арбитражный суд города Москвы с иском о взыскании с общества с ограниченной ответственностью «СтройГарант+» 10 324 205 рублей неосновательного обогащения. Решением Арбитражного суда города Москвы от 30.12.2019 иск удовлетворен. Постановлением Девятого арбитражного апелляционного суда от 05.03.2020 решение суда первой инстанции оставлено без изменения. Арбитражный суд Московского округа постановлением от 21.07.2020 указанные судебные акты оставил без изменения. Общество с ограниченной ответственностью «СтройГарант+»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вступившим в законную силу решением по делу № А79-9044/2016, руководствуясь статьями 382 , 384 , 390 , 1102 Гражданского кодекса Российской Федерации, суды пришли к выводу о наличии на стороне ответчика неосновательного обогащения и обязанности по его возврату истцу.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судебного акта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«СтройГарант+»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"Коммунальные технологии" (подробнее) Ответчики: ООО "Стройгарант+"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