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дела решением Арбитражного суда города Москвы от 19.12.2019, оставленным без изменения постановлением Девятого арбитражного апелляционного суда от 04.03.2020 и постановлением Арбитражного суда Московского округа от 14.07.2020, в удовлетворении первоначального и встречного исков отказано. В кассационной жалобе заявитель, ссылаясь на нарушение норм процессуального права, просит обжалуемые судебные акты отменить в части отказа в удовлетворении требований ООО «Реал» и направить дело на новое рассмотрение в Арбитражный суд города Москвы в ином составе суда. 2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Принимая судебные акты в обжалуемой части, суды, руководствуясь положениями статей 15, 450, 624, 665, 669 Гражданского кодекса Российской Федерации, Федерального закона от 29.10.1998 № 164-ФЗ «О финансовой аренде (лизинге)» разъяснениями, изложенными в постановлениях Пленума Высшего Арбитражного Суда Российской Федерации, от 14.03.2014 № 16 «О свободе договора и ее пределах», от 14.03.2014 № 17 «Об отдельных вопросах, связанных с договором выкупного лизинга», от 06.06.2014 № 35 «О последствиях расторжения договора», исследовав и оценив в порядке статьи 71 АПК РФ представленные в дело доказательства, приняв во внимание обстоятельства дел № А45-19260/2015, А40-190881/2017, А45-19260/2015, произведя расчет сальдо встречных обязательств, пришли к выводу об отсутствии на стороне ООО «Каркаде» неосновательного обогащения и отказали в иске ООО «Реал». Доводы жалобы о неисполнении судом первой инстанции указаний суда округа, данных при направлении дела на новое рассмотрение, были отклонены арбитражным судом округа как неосновательные. Необходимые для правильного рассмотрения спора обстоятельства, на которые указал суд округа, установлены в полном объеме. Ссылки на злоупотребление правом со стороны ООО «Каркаде» также исследованы судебными инстанциями и признаны необоснованными. Существенных нарушений норм материального и (или) процессуального права, повлиявших на исход дела, судами не допущено.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