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06.02.2020 заявленные требования удовлетворены. Постановлением Тринадцатого арбитражного апелляционного суда от 26.05.2020 мотивировочная часть решения суда первой инстанции изменена, решение оставлено без изменения. 2 Постановлением Арбитражного суда Северо-Западного округа от 25.08.2020 постановление суда апелляционной инстанции оставлено без изменения. Общество просит обжалуемые судебные акты изменить, исключить из мотивировочной части выводы о наличии в действии общества состава правонарушения. Исходя из доводов жалобы и принятых по делу судебных актов таких оснований не установлено. Как следует из судебных актов, административным органом выявлен факт расхождения между фактическими остатками алкогольной продукции на складе и сведениями об остатках продукции по данным ЕГАИС в количестве 213 (двести тринадцать) единиц. Суд первой инстанции пришел к выводу о недоказанности административным органом в действиях общества состава административного правонарушения, а именно вины в совершении данного правонарушения. Суд апелляционной инстанции,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Правил функционирования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утвержденных Постановлением Правительства РФ от 29.12.2015 №1459, с учетом установленных обстоятельств вмененного правонарушения, существующего порядка отражения информации об отгрузке алкогольной продукции, пришел к выводу о наличии в действиях общества состава административного правонарушения, ответственность за которое предусмотрена статьей 14.19 Кодекса Российской Федерации об административных правонарушениях, однако признал совершенное обществом правонарушение малозначительным, в связи с чем оставил решение суда первой инстанции без изменения. Суд округа согласился с выводами суда апелляционной инстанции. 3 Доводы общества приводились при рассмотрении дела, получили надлежащую правовую оценку судов в обжалуемых судебных актах исходя из наличия у общества обязанности осуществлять учет достоверных сведений в ЕГАИС, предпринимать действия для устранения нарушений порядка учета алкогольной продукции в ЕГАИС, а также наличия у продавца возможности отозвать данные на поставку продукции до момента подтверждения этих данных получателем. Доказательств того, что общество приняло все зависящие от него меры по соблюдению требований законодательств об обороте алкогольной продукции, не представлено. Нарушений процедуры проведения проверки и привлечения к административной ответственности не установлено. Доводы жалобы получили исчерпывающую правовую оценку в обжалуемых судебных актах, не согласиться с которой оснований не имеется. Указанные доводы не свидетельствуют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