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17.12.2019, оставленным без изменения постановлением Семнадцатого арбитражного 2 апелляционного суда от 13.03.2020, в удовлетворении заявленного требования отказано. Постановлением Арбитражного суда Уральского округа от 09.07.2020 указанные судебные акты оставлены без изменения. В кассационной жалобе, поступившей в Верховный Суд Российской Федерации, предприниматель просит отменить принятые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статьями 391, 394 Налогового кодекса Российской Федерации, статьями 33, 77, 78, 81 Земельного кодекса Российской Федерации, положениями Федерального закона от 15.04.1998 № 66-ФЗ «О садоводческих, огороднических и дачных некоммерческих объединениях граждан», суды с учетом установленных по делу обстоятельств отказали в удовлетворении требований, признав, что предприниматель не вправе применять пониженную ставку земельного налога, установленную для некоммерческих организаций и физических лиц. Доводы жалобы были предметом рассмотрения судов и получили исчерпывающую правовую оценку в оспариваемых судебных актах, в том 3 числе, исходя из установленных обстоятельств, свидетельствующих об использовании заявителем спорных земельных участков в предпринимательской деятельности в целях извлечения прибыли, а не в целях удовлетворения личных потребностей при ведении дачного строительства, не согласиться с которой оснований не имеется.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